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4E38E" w14:textId="77777777" w:rsidR="00050876" w:rsidRPr="00D00ACF" w:rsidRDefault="005A2475" w:rsidP="00D8674B">
      <w:pPr>
        <w:ind w:left="1134" w:right="1134"/>
        <w:mirrorIndents/>
        <w:jc w:val="both"/>
        <w:rPr>
          <w:rFonts w:ascii="Arial" w:hAnsi="Arial" w:cs="Arial"/>
          <w:b/>
          <w:sz w:val="24"/>
          <w:lang w:val="en-GB"/>
        </w:rPr>
      </w:pPr>
      <w:r w:rsidRPr="00D00ACF">
        <w:rPr>
          <w:rFonts w:ascii="Arial" w:hAnsi="Arial" w:cs="Arial"/>
          <w:b/>
          <w:sz w:val="24"/>
          <w:lang w:val="en-GB"/>
        </w:rPr>
        <w:t>Brassicas in the Mediterranean Basin: more opportunities than problems</w:t>
      </w:r>
    </w:p>
    <w:p w14:paraId="228A98F4" w14:textId="77777777" w:rsidR="005A2475" w:rsidRPr="00D00ACF" w:rsidRDefault="005A2475" w:rsidP="00D8674B">
      <w:pPr>
        <w:ind w:left="1134" w:right="1134"/>
        <w:mirrorIndents/>
        <w:jc w:val="both"/>
        <w:rPr>
          <w:rFonts w:ascii="Arial" w:hAnsi="Arial" w:cs="Arial"/>
          <w:sz w:val="20"/>
          <w:lang w:val="en-GB"/>
        </w:rPr>
      </w:pPr>
    </w:p>
    <w:p w14:paraId="3A1A7E5D" w14:textId="79C5019E" w:rsidR="005A2475" w:rsidRPr="00A67EF9" w:rsidRDefault="005A2475" w:rsidP="00D8674B">
      <w:pPr>
        <w:ind w:left="1134" w:right="1134"/>
        <w:mirrorIndents/>
        <w:jc w:val="both"/>
        <w:rPr>
          <w:rFonts w:ascii="Arial" w:hAnsi="Arial" w:cs="Arial"/>
          <w:sz w:val="20"/>
        </w:rPr>
      </w:pPr>
      <w:r w:rsidRPr="00A67EF9">
        <w:rPr>
          <w:rFonts w:ascii="Arial" w:hAnsi="Arial" w:cs="Arial"/>
          <w:b/>
          <w:sz w:val="20"/>
        </w:rPr>
        <w:t>Authors:</w:t>
      </w:r>
      <w:r w:rsidRPr="00A67EF9">
        <w:rPr>
          <w:rFonts w:ascii="Arial" w:hAnsi="Arial" w:cs="Arial"/>
          <w:sz w:val="20"/>
        </w:rPr>
        <w:t xml:space="preserve"> Matteo, R.</w:t>
      </w:r>
      <w:r w:rsidRPr="00A67EF9">
        <w:rPr>
          <w:rFonts w:ascii="Arial" w:hAnsi="Arial" w:cs="Arial"/>
          <w:sz w:val="20"/>
          <w:vertAlign w:val="superscript"/>
        </w:rPr>
        <w:t>a*</w:t>
      </w:r>
      <w:r w:rsidRPr="00A67EF9">
        <w:rPr>
          <w:rFonts w:ascii="Arial" w:hAnsi="Arial" w:cs="Arial"/>
          <w:sz w:val="20"/>
        </w:rPr>
        <w:t>, Pagnotta, E.</w:t>
      </w:r>
      <w:r w:rsidRPr="00A67EF9">
        <w:rPr>
          <w:rFonts w:ascii="Arial" w:hAnsi="Arial" w:cs="Arial"/>
          <w:sz w:val="20"/>
          <w:vertAlign w:val="superscript"/>
        </w:rPr>
        <w:t>a</w:t>
      </w:r>
      <w:r w:rsidRPr="00A67EF9">
        <w:rPr>
          <w:rFonts w:ascii="Arial" w:hAnsi="Arial" w:cs="Arial"/>
          <w:sz w:val="20"/>
        </w:rPr>
        <w:t>, Ugolini, L.</w:t>
      </w:r>
      <w:r w:rsidRPr="00A67EF9">
        <w:rPr>
          <w:rFonts w:ascii="Arial" w:hAnsi="Arial" w:cs="Arial"/>
          <w:sz w:val="20"/>
          <w:vertAlign w:val="superscript"/>
        </w:rPr>
        <w:t>a</w:t>
      </w:r>
      <w:r w:rsidRPr="00A67EF9">
        <w:rPr>
          <w:rFonts w:ascii="Arial" w:hAnsi="Arial" w:cs="Arial"/>
          <w:sz w:val="20"/>
        </w:rPr>
        <w:t>, Montanari, M.</w:t>
      </w:r>
      <w:r w:rsidRPr="00A67EF9">
        <w:rPr>
          <w:rFonts w:ascii="Arial" w:hAnsi="Arial" w:cs="Arial"/>
          <w:sz w:val="20"/>
          <w:vertAlign w:val="superscript"/>
        </w:rPr>
        <w:t>a</w:t>
      </w:r>
      <w:r w:rsidRPr="00A67EF9">
        <w:rPr>
          <w:rFonts w:ascii="Arial" w:hAnsi="Arial" w:cs="Arial"/>
          <w:sz w:val="20"/>
        </w:rPr>
        <w:t>, Parisi, B.</w:t>
      </w:r>
      <w:r w:rsidRPr="00A67EF9">
        <w:rPr>
          <w:rFonts w:ascii="Arial" w:hAnsi="Arial" w:cs="Arial"/>
          <w:sz w:val="20"/>
          <w:vertAlign w:val="superscript"/>
        </w:rPr>
        <w:t>a</w:t>
      </w:r>
      <w:r w:rsidR="00F90AAE" w:rsidRPr="00A67EF9">
        <w:rPr>
          <w:rFonts w:ascii="Arial" w:hAnsi="Arial" w:cs="Arial"/>
          <w:sz w:val="20"/>
        </w:rPr>
        <w:t>, Bagatta M.</w:t>
      </w:r>
      <w:r w:rsidR="00F90AAE" w:rsidRPr="00A67EF9">
        <w:rPr>
          <w:rFonts w:ascii="Arial" w:hAnsi="Arial" w:cs="Arial"/>
          <w:sz w:val="20"/>
          <w:vertAlign w:val="superscript"/>
        </w:rPr>
        <w:t>a</w:t>
      </w:r>
      <w:r w:rsidR="00647676">
        <w:rPr>
          <w:rFonts w:ascii="Arial" w:hAnsi="Arial" w:cs="Arial"/>
          <w:sz w:val="20"/>
        </w:rPr>
        <w:t>, Malaguti, L.</w:t>
      </w:r>
      <w:r w:rsidR="00647676" w:rsidRPr="00647676">
        <w:rPr>
          <w:rFonts w:ascii="Arial" w:hAnsi="Arial" w:cs="Arial"/>
          <w:sz w:val="20"/>
          <w:vertAlign w:val="superscript"/>
        </w:rPr>
        <w:t xml:space="preserve"> </w:t>
      </w:r>
      <w:r w:rsidR="00647676" w:rsidRPr="00A67EF9">
        <w:rPr>
          <w:rFonts w:ascii="Arial" w:hAnsi="Arial" w:cs="Arial"/>
          <w:sz w:val="20"/>
          <w:vertAlign w:val="superscript"/>
        </w:rPr>
        <w:t>a</w:t>
      </w:r>
      <w:r w:rsidR="00647676">
        <w:rPr>
          <w:rFonts w:ascii="Arial" w:hAnsi="Arial" w:cs="Arial"/>
          <w:sz w:val="20"/>
        </w:rPr>
        <w:t>, Casadei, N.</w:t>
      </w:r>
      <w:r w:rsidR="00647676" w:rsidRPr="00647676">
        <w:rPr>
          <w:rFonts w:ascii="Arial" w:hAnsi="Arial" w:cs="Arial"/>
          <w:sz w:val="20"/>
          <w:vertAlign w:val="superscript"/>
        </w:rPr>
        <w:t xml:space="preserve"> </w:t>
      </w:r>
      <w:r w:rsidR="00647676" w:rsidRPr="00A67EF9">
        <w:rPr>
          <w:rFonts w:ascii="Arial" w:hAnsi="Arial" w:cs="Arial"/>
          <w:sz w:val="20"/>
          <w:vertAlign w:val="superscript"/>
        </w:rPr>
        <w:t>a</w:t>
      </w:r>
      <w:r w:rsidR="00647676">
        <w:rPr>
          <w:rFonts w:ascii="Arial" w:hAnsi="Arial" w:cs="Arial"/>
          <w:sz w:val="20"/>
        </w:rPr>
        <w:t>,</w:t>
      </w:r>
      <w:r w:rsidR="00647676" w:rsidRPr="00647676">
        <w:rPr>
          <w:rFonts w:ascii="Arial" w:hAnsi="Arial" w:cs="Arial"/>
          <w:sz w:val="20"/>
        </w:rPr>
        <w:t xml:space="preserve"> </w:t>
      </w:r>
      <w:r w:rsidR="00647676" w:rsidRPr="00A67EF9">
        <w:rPr>
          <w:rFonts w:ascii="Arial" w:hAnsi="Arial" w:cs="Arial"/>
          <w:sz w:val="20"/>
        </w:rPr>
        <w:t>Righetti, L.</w:t>
      </w:r>
      <w:r w:rsidR="00647676" w:rsidRPr="00A67EF9">
        <w:rPr>
          <w:rFonts w:ascii="Arial" w:hAnsi="Arial" w:cs="Arial"/>
          <w:sz w:val="20"/>
          <w:vertAlign w:val="superscript"/>
        </w:rPr>
        <w:t>a</w:t>
      </w:r>
    </w:p>
    <w:p w14:paraId="256E98B1" w14:textId="77777777" w:rsidR="00F90AAE" w:rsidRPr="00A67EF9" w:rsidRDefault="00F90AAE" w:rsidP="00D8674B">
      <w:pPr>
        <w:ind w:left="1134" w:right="1134"/>
        <w:mirrorIndents/>
        <w:jc w:val="both"/>
        <w:rPr>
          <w:rFonts w:ascii="Arial" w:hAnsi="Arial" w:cs="Arial"/>
          <w:sz w:val="20"/>
        </w:rPr>
      </w:pPr>
    </w:p>
    <w:p w14:paraId="1EE48F27" w14:textId="77777777" w:rsidR="005A2475" w:rsidRPr="00E22D7C" w:rsidRDefault="005A2475" w:rsidP="00D8674B">
      <w:pPr>
        <w:ind w:left="1134" w:right="1134"/>
        <w:mirrorIndents/>
        <w:jc w:val="both"/>
        <w:rPr>
          <w:rFonts w:ascii="Arial" w:hAnsi="Arial" w:cs="Arial"/>
          <w:i/>
          <w:sz w:val="20"/>
          <w:szCs w:val="20"/>
        </w:rPr>
      </w:pPr>
      <w:r w:rsidRPr="00E22D7C">
        <w:rPr>
          <w:rFonts w:ascii="Arial" w:hAnsi="Arial" w:cs="Arial"/>
          <w:i/>
          <w:sz w:val="20"/>
          <w:vertAlign w:val="superscript"/>
        </w:rPr>
        <w:t>a</w:t>
      </w:r>
      <w:r w:rsidRPr="00E22D7C">
        <w:rPr>
          <w:rFonts w:ascii="Arial" w:hAnsi="Arial" w:cs="Arial"/>
          <w:i/>
          <w:sz w:val="20"/>
        </w:rPr>
        <w:t xml:space="preserve">Research Centre </w:t>
      </w:r>
      <w:r w:rsidRPr="00E22D7C">
        <w:rPr>
          <w:rFonts w:ascii="Arial" w:hAnsi="Arial" w:cs="Arial"/>
          <w:i/>
          <w:sz w:val="20"/>
          <w:szCs w:val="20"/>
        </w:rPr>
        <w:t>for Cereal and Industrial Crops, Consiglio per la Ricerca in Agricoltura e l’Analisi</w:t>
      </w:r>
      <w:r w:rsidR="00D8674B" w:rsidRPr="00E22D7C">
        <w:rPr>
          <w:rFonts w:ascii="Arial" w:hAnsi="Arial" w:cs="Arial"/>
          <w:i/>
          <w:sz w:val="20"/>
          <w:szCs w:val="20"/>
        </w:rPr>
        <w:t xml:space="preserve"> </w:t>
      </w:r>
      <w:r w:rsidRPr="00E22D7C">
        <w:rPr>
          <w:rFonts w:ascii="Arial" w:hAnsi="Arial" w:cs="Arial"/>
          <w:i/>
          <w:sz w:val="20"/>
          <w:szCs w:val="20"/>
        </w:rPr>
        <w:t>dell’Economia Agraria (CREA-CI), Via di Corticella 133, 40128 Bologna, Italy</w:t>
      </w:r>
    </w:p>
    <w:p w14:paraId="41547E45" w14:textId="77777777" w:rsidR="005A2475" w:rsidRPr="00E22D7C" w:rsidRDefault="005A2475" w:rsidP="00D8674B">
      <w:pPr>
        <w:ind w:left="1134" w:right="1134"/>
        <w:mirrorIndents/>
        <w:jc w:val="both"/>
        <w:rPr>
          <w:rFonts w:ascii="Arial" w:hAnsi="Arial" w:cs="Arial"/>
        </w:rPr>
      </w:pPr>
    </w:p>
    <w:p w14:paraId="617CF242" w14:textId="77777777" w:rsidR="005A2475" w:rsidRPr="00D00ACF" w:rsidRDefault="005A2475" w:rsidP="00D8674B">
      <w:pPr>
        <w:ind w:left="1134" w:right="1134"/>
        <w:mirrorIndents/>
        <w:jc w:val="both"/>
        <w:rPr>
          <w:rFonts w:ascii="Arial" w:hAnsi="Arial" w:cs="Arial"/>
          <w:b/>
          <w:lang w:val="en-GB"/>
        </w:rPr>
      </w:pPr>
      <w:r w:rsidRPr="00D00ACF">
        <w:rPr>
          <w:rFonts w:ascii="Arial" w:hAnsi="Arial" w:cs="Arial"/>
          <w:b/>
          <w:lang w:val="en-GB"/>
        </w:rPr>
        <w:t xml:space="preserve">Keywords: </w:t>
      </w:r>
      <w:r w:rsidR="00F90AAE" w:rsidRPr="00F90AAE">
        <w:rPr>
          <w:rFonts w:ascii="Arial" w:hAnsi="Arial" w:cs="Arial"/>
          <w:lang w:val="en-GB"/>
        </w:rPr>
        <w:t>Isothiocyanate, myrosinase, bioactive molecules,</w:t>
      </w:r>
      <w:r w:rsidR="00F90AAE">
        <w:rPr>
          <w:rFonts w:ascii="Arial" w:hAnsi="Arial" w:cs="Arial"/>
          <w:b/>
          <w:lang w:val="en-GB"/>
        </w:rPr>
        <w:t xml:space="preserve"> </w:t>
      </w:r>
    </w:p>
    <w:p w14:paraId="1166BBF9" w14:textId="77777777" w:rsidR="005A2475" w:rsidRPr="00D00ACF" w:rsidRDefault="005A2475" w:rsidP="00D8674B">
      <w:pPr>
        <w:ind w:left="1134" w:right="1134"/>
        <w:mirrorIndents/>
        <w:jc w:val="both"/>
        <w:rPr>
          <w:rFonts w:ascii="Arial" w:hAnsi="Arial" w:cs="Arial"/>
          <w:lang w:val="en-GB"/>
        </w:rPr>
      </w:pPr>
    </w:p>
    <w:p w14:paraId="2D460BCF" w14:textId="77777777" w:rsidR="005A2475" w:rsidRPr="00D00ACF" w:rsidRDefault="00D8674B" w:rsidP="00D8674B">
      <w:pPr>
        <w:ind w:left="1134" w:right="1134"/>
        <w:mirrorIndents/>
        <w:jc w:val="both"/>
        <w:rPr>
          <w:rFonts w:ascii="Arial" w:hAnsi="Arial" w:cs="Arial"/>
          <w:b/>
          <w:lang w:val="en-GB"/>
        </w:rPr>
      </w:pPr>
      <w:r w:rsidRPr="00D00ACF">
        <w:rPr>
          <w:rFonts w:ascii="Arial" w:hAnsi="Arial" w:cs="Arial"/>
          <w:b/>
          <w:lang w:val="en-GB"/>
        </w:rPr>
        <w:t>Abstract</w:t>
      </w:r>
    </w:p>
    <w:p w14:paraId="733FE18F" w14:textId="4F7CFB61" w:rsidR="00D00ACF" w:rsidRPr="00D00ACF" w:rsidRDefault="00E56A98" w:rsidP="00D8674B">
      <w:pPr>
        <w:ind w:left="1134" w:right="1134"/>
        <w:mirrorIndents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Beside</w:t>
      </w:r>
      <w:r w:rsidRPr="00D00ACF">
        <w:rPr>
          <w:rFonts w:ascii="Arial" w:hAnsi="Arial" w:cs="Arial"/>
          <w:lang w:val="en-GB"/>
        </w:rPr>
        <w:t xml:space="preserve"> </w:t>
      </w:r>
      <w:r w:rsidR="00D00ACF" w:rsidRPr="00D00ACF">
        <w:rPr>
          <w:rFonts w:ascii="Arial" w:hAnsi="Arial" w:cs="Arial"/>
          <w:lang w:val="en-GB"/>
        </w:rPr>
        <w:t xml:space="preserve">the approximately 40 million hectares </w:t>
      </w:r>
      <w:r>
        <w:rPr>
          <w:rFonts w:ascii="Arial" w:hAnsi="Arial" w:cs="Arial"/>
          <w:lang w:val="en-GB"/>
        </w:rPr>
        <w:t>of</w:t>
      </w:r>
      <w:r w:rsidR="00D00ACF" w:rsidRPr="00D00ACF">
        <w:rPr>
          <w:rFonts w:ascii="Arial" w:hAnsi="Arial" w:cs="Arial"/>
          <w:lang w:val="en-GB"/>
        </w:rPr>
        <w:t xml:space="preserve"> rapeseed</w:t>
      </w:r>
      <w:r w:rsidR="00D00ACF">
        <w:rPr>
          <w:rFonts w:ascii="Arial" w:hAnsi="Arial" w:cs="Arial"/>
          <w:lang w:val="en-GB"/>
        </w:rPr>
        <w:t xml:space="preserve"> for oil production</w:t>
      </w:r>
      <w:r w:rsidR="00D00ACF" w:rsidRPr="00D00ACF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the cultivation of other </w:t>
      </w:r>
      <w:r w:rsidR="00D00ACF" w:rsidRPr="00D00ACF">
        <w:rPr>
          <w:rFonts w:ascii="Arial" w:hAnsi="Arial" w:cs="Arial"/>
          <w:lang w:val="en-GB"/>
        </w:rPr>
        <w:t xml:space="preserve">Brassicaceae </w:t>
      </w:r>
      <w:r>
        <w:rPr>
          <w:rFonts w:ascii="Arial" w:hAnsi="Arial" w:cs="Arial"/>
          <w:lang w:val="en-GB"/>
        </w:rPr>
        <w:t xml:space="preserve">for </w:t>
      </w:r>
      <w:r w:rsidR="00663630">
        <w:rPr>
          <w:rFonts w:ascii="Arial" w:hAnsi="Arial" w:cs="Arial"/>
          <w:lang w:val="en-GB"/>
        </w:rPr>
        <w:t xml:space="preserve">agri-food </w:t>
      </w:r>
      <w:r>
        <w:rPr>
          <w:rFonts w:ascii="Arial" w:hAnsi="Arial" w:cs="Arial"/>
          <w:lang w:val="en-GB"/>
        </w:rPr>
        <w:t xml:space="preserve">and industrial applications is </w:t>
      </w:r>
      <w:r w:rsidR="00D00ACF" w:rsidRPr="00D00ACF">
        <w:rPr>
          <w:rFonts w:ascii="Arial" w:hAnsi="Arial" w:cs="Arial"/>
          <w:lang w:val="en-GB"/>
        </w:rPr>
        <w:t xml:space="preserve">not very </w:t>
      </w:r>
      <w:r>
        <w:rPr>
          <w:rFonts w:ascii="Arial" w:hAnsi="Arial" w:cs="Arial"/>
          <w:lang w:val="en-GB"/>
        </w:rPr>
        <w:t xml:space="preserve">widespread </w:t>
      </w:r>
      <w:r w:rsidR="00D00ACF" w:rsidRPr="00D00ACF">
        <w:rPr>
          <w:rFonts w:ascii="Arial" w:hAnsi="Arial" w:cs="Arial"/>
          <w:lang w:val="en-GB"/>
        </w:rPr>
        <w:t xml:space="preserve">[1]. </w:t>
      </w:r>
      <w:r>
        <w:rPr>
          <w:rFonts w:ascii="Arial" w:hAnsi="Arial" w:cs="Arial"/>
          <w:lang w:val="en-GB"/>
        </w:rPr>
        <w:t>In fact,</w:t>
      </w:r>
      <w:r w:rsidR="00D00ACF" w:rsidRPr="00D00AC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</w:t>
      </w:r>
      <w:r w:rsidR="00D00ACF" w:rsidRPr="00D00ACF">
        <w:rPr>
          <w:rFonts w:ascii="Arial" w:hAnsi="Arial" w:cs="Arial"/>
          <w:lang w:val="en-GB"/>
        </w:rPr>
        <w:t>plants belonging to this family grown in the Mediterranean environment are mainly horticultural</w:t>
      </w:r>
      <w:r w:rsidR="00D00ACF">
        <w:rPr>
          <w:rFonts w:ascii="Arial" w:hAnsi="Arial" w:cs="Arial"/>
          <w:lang w:val="en-GB"/>
        </w:rPr>
        <w:t xml:space="preserve"> that derive from an ancient heritage</w:t>
      </w:r>
      <w:r w:rsidR="00663630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>productions are</w:t>
      </w:r>
      <w:r w:rsidR="00663630">
        <w:rPr>
          <w:rFonts w:ascii="Arial" w:hAnsi="Arial" w:cs="Arial"/>
          <w:lang w:val="en-GB"/>
        </w:rPr>
        <w:t xml:space="preserve"> relatively limited</w:t>
      </w:r>
      <w:r w:rsidR="00D00ACF" w:rsidRPr="00D00ACF">
        <w:rPr>
          <w:rFonts w:ascii="Arial" w:hAnsi="Arial" w:cs="Arial"/>
          <w:lang w:val="en-GB"/>
        </w:rPr>
        <w:t xml:space="preserve">. </w:t>
      </w:r>
      <w:r w:rsidR="006469AF">
        <w:rPr>
          <w:rFonts w:ascii="Arial" w:hAnsi="Arial" w:cs="Arial"/>
          <w:lang w:val="en-GB"/>
        </w:rPr>
        <w:t>Interestingly, though</w:t>
      </w:r>
      <w:r w:rsidR="00D00ACF" w:rsidRPr="00D00ACF">
        <w:rPr>
          <w:rFonts w:ascii="Arial" w:hAnsi="Arial" w:cs="Arial"/>
          <w:lang w:val="en-GB"/>
        </w:rPr>
        <w:t xml:space="preserve">, </w:t>
      </w:r>
      <w:r w:rsidR="00845E11">
        <w:rPr>
          <w:rFonts w:ascii="Arial" w:hAnsi="Arial" w:cs="Arial"/>
          <w:lang w:val="en-GB"/>
        </w:rPr>
        <w:t xml:space="preserve">the huge </w:t>
      </w:r>
      <w:r w:rsidR="00655635">
        <w:rPr>
          <w:rFonts w:ascii="Arial" w:hAnsi="Arial" w:cs="Arial"/>
          <w:lang w:val="en-GB"/>
        </w:rPr>
        <w:t>botanical biodiversity of this plant family</w:t>
      </w:r>
      <w:r w:rsidR="00D92BC0">
        <w:rPr>
          <w:rFonts w:ascii="Arial" w:hAnsi="Arial" w:cs="Arial"/>
          <w:lang w:val="en-GB"/>
        </w:rPr>
        <w:t xml:space="preserve">, made of almost </w:t>
      </w:r>
      <w:r w:rsidR="00D92BC0" w:rsidRPr="00D00ACF">
        <w:rPr>
          <w:rFonts w:ascii="Arial" w:hAnsi="Arial" w:cs="Arial"/>
          <w:lang w:val="en-GB"/>
        </w:rPr>
        <w:t>4000 species and more than 300 genera</w:t>
      </w:r>
      <w:r w:rsidR="00323454">
        <w:rPr>
          <w:rFonts w:ascii="Arial" w:hAnsi="Arial" w:cs="Arial"/>
          <w:lang w:val="en-GB"/>
        </w:rPr>
        <w:t>,</w:t>
      </w:r>
      <w:r w:rsidR="00D92BC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opens </w:t>
      </w:r>
      <w:r w:rsidRPr="00D00ACF">
        <w:rPr>
          <w:rFonts w:ascii="Arial" w:hAnsi="Arial" w:cs="Arial"/>
          <w:lang w:val="en-GB"/>
        </w:rPr>
        <w:t xml:space="preserve">possibilities </w:t>
      </w:r>
      <w:r>
        <w:rPr>
          <w:rFonts w:ascii="Arial" w:hAnsi="Arial" w:cs="Arial"/>
          <w:lang w:val="en-GB"/>
        </w:rPr>
        <w:t xml:space="preserve">to </w:t>
      </w:r>
      <w:r w:rsidR="00D00ACF" w:rsidRPr="00D00ACF">
        <w:rPr>
          <w:rFonts w:ascii="Arial" w:hAnsi="Arial" w:cs="Arial"/>
          <w:lang w:val="en-GB"/>
        </w:rPr>
        <w:t xml:space="preserve">many </w:t>
      </w:r>
      <w:r w:rsidR="000B5FCA">
        <w:rPr>
          <w:rFonts w:ascii="Arial" w:hAnsi="Arial" w:cs="Arial"/>
          <w:lang w:val="en-GB"/>
        </w:rPr>
        <w:t>research and innovation</w:t>
      </w:r>
      <w:r>
        <w:rPr>
          <w:rFonts w:ascii="Arial" w:hAnsi="Arial" w:cs="Arial"/>
          <w:lang w:val="en-GB"/>
        </w:rPr>
        <w:t>s</w:t>
      </w:r>
      <w:r w:rsidR="00A67EF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in </w:t>
      </w:r>
      <w:r w:rsidR="00A67EF9">
        <w:rPr>
          <w:rFonts w:ascii="Arial" w:hAnsi="Arial" w:cs="Arial"/>
          <w:lang w:val="en-GB"/>
        </w:rPr>
        <w:t>particular</w:t>
      </w:r>
      <w:r w:rsidR="00D00ACF" w:rsidRPr="00D00ACF">
        <w:rPr>
          <w:rFonts w:ascii="Arial" w:hAnsi="Arial" w:cs="Arial"/>
          <w:lang w:val="en-GB"/>
        </w:rPr>
        <w:t xml:space="preserve"> </w:t>
      </w:r>
      <w:r w:rsidR="00323454">
        <w:rPr>
          <w:rFonts w:ascii="Arial" w:hAnsi="Arial" w:cs="Arial"/>
          <w:lang w:val="en-GB"/>
        </w:rPr>
        <w:t>considering</w:t>
      </w:r>
      <w:r w:rsidR="00D00ACF" w:rsidRPr="00D00ACF">
        <w:rPr>
          <w:rFonts w:ascii="Arial" w:hAnsi="Arial" w:cs="Arial"/>
          <w:lang w:val="en-GB"/>
        </w:rPr>
        <w:t xml:space="preserve"> the </w:t>
      </w:r>
      <w:r w:rsidR="006469AF">
        <w:rPr>
          <w:rFonts w:ascii="Arial" w:hAnsi="Arial" w:cs="Arial"/>
          <w:lang w:val="en-GB"/>
        </w:rPr>
        <w:t xml:space="preserve">wide </w:t>
      </w:r>
      <w:r w:rsidR="00D00ACF" w:rsidRPr="00D00ACF">
        <w:rPr>
          <w:rFonts w:ascii="Arial" w:hAnsi="Arial" w:cs="Arial"/>
          <w:lang w:val="en-GB"/>
        </w:rPr>
        <w:t xml:space="preserve">spectrum of plants potentially suitable for the Mediterranean climate </w:t>
      </w:r>
      <w:r w:rsidR="00323454">
        <w:rPr>
          <w:rFonts w:ascii="Arial" w:hAnsi="Arial" w:cs="Arial"/>
          <w:lang w:val="en-GB"/>
        </w:rPr>
        <w:t>area</w:t>
      </w:r>
      <w:r w:rsidR="00D00ACF" w:rsidRPr="00D00ACF">
        <w:rPr>
          <w:rFonts w:ascii="Arial" w:hAnsi="Arial" w:cs="Arial"/>
          <w:lang w:val="en-GB"/>
        </w:rPr>
        <w:t xml:space="preserve">. This </w:t>
      </w:r>
      <w:r w:rsidR="000F66E7">
        <w:rPr>
          <w:rFonts w:ascii="Arial" w:hAnsi="Arial" w:cs="Arial"/>
          <w:lang w:val="en-GB"/>
        </w:rPr>
        <w:t>biological variety</w:t>
      </w:r>
      <w:r w:rsidR="00D00ACF" w:rsidRPr="00D00ACF">
        <w:rPr>
          <w:rFonts w:ascii="Arial" w:hAnsi="Arial" w:cs="Arial"/>
          <w:lang w:val="en-GB"/>
        </w:rPr>
        <w:t xml:space="preserve"> also </w:t>
      </w:r>
      <w:r w:rsidR="00D00ACF">
        <w:rPr>
          <w:rFonts w:ascii="Arial" w:hAnsi="Arial" w:cs="Arial"/>
          <w:lang w:val="en-GB"/>
        </w:rPr>
        <w:t>translate</w:t>
      </w:r>
      <w:r w:rsidR="00E22D7C">
        <w:rPr>
          <w:rFonts w:ascii="Arial" w:hAnsi="Arial" w:cs="Arial"/>
          <w:lang w:val="en-GB"/>
        </w:rPr>
        <w:t>s</w:t>
      </w:r>
      <w:r w:rsidR="00D00AC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</w:t>
      </w:r>
      <w:r w:rsidR="00D00ACF">
        <w:rPr>
          <w:rFonts w:ascii="Arial" w:hAnsi="Arial" w:cs="Arial"/>
          <w:lang w:val="en-GB"/>
        </w:rPr>
        <w:t>to</w:t>
      </w:r>
      <w:r w:rsidR="00D00ACF" w:rsidRPr="00D00ACF">
        <w:rPr>
          <w:rFonts w:ascii="Arial" w:hAnsi="Arial" w:cs="Arial"/>
          <w:lang w:val="en-GB"/>
        </w:rPr>
        <w:t xml:space="preserve"> an incredible diversity of active compounds </w:t>
      </w:r>
      <w:r w:rsidR="00647E99">
        <w:rPr>
          <w:rFonts w:ascii="Arial" w:hAnsi="Arial" w:cs="Arial"/>
          <w:lang w:val="en-GB"/>
        </w:rPr>
        <w:t xml:space="preserve">that </w:t>
      </w:r>
      <w:r w:rsidR="00D00ACF" w:rsidRPr="00D00ACF">
        <w:rPr>
          <w:rFonts w:ascii="Arial" w:hAnsi="Arial" w:cs="Arial"/>
          <w:lang w:val="en-GB"/>
        </w:rPr>
        <w:t xml:space="preserve">can be </w:t>
      </w:r>
      <w:r w:rsidR="00647E99">
        <w:rPr>
          <w:rFonts w:ascii="Arial" w:hAnsi="Arial" w:cs="Arial"/>
          <w:lang w:val="en-GB"/>
        </w:rPr>
        <w:t>exploited</w:t>
      </w:r>
      <w:r w:rsidR="00D00ACF" w:rsidRPr="00D00ACF">
        <w:rPr>
          <w:rFonts w:ascii="Arial" w:hAnsi="Arial" w:cs="Arial"/>
          <w:lang w:val="en-GB"/>
        </w:rPr>
        <w:t xml:space="preserve"> for the creation of innovative </w:t>
      </w:r>
      <w:r>
        <w:rPr>
          <w:rFonts w:ascii="Arial" w:hAnsi="Arial" w:cs="Arial"/>
          <w:lang w:val="en-GB"/>
        </w:rPr>
        <w:t>value</w:t>
      </w:r>
      <w:r w:rsidRPr="00D00ACF">
        <w:rPr>
          <w:rFonts w:ascii="Arial" w:hAnsi="Arial" w:cs="Arial"/>
          <w:lang w:val="en-GB"/>
        </w:rPr>
        <w:t xml:space="preserve"> </w:t>
      </w:r>
      <w:r w:rsidR="00D00ACF" w:rsidRPr="00D00ACF">
        <w:rPr>
          <w:rFonts w:ascii="Arial" w:hAnsi="Arial" w:cs="Arial"/>
          <w:lang w:val="en-GB"/>
        </w:rPr>
        <w:t>chains</w:t>
      </w:r>
      <w:r w:rsidR="00ED1CEC">
        <w:rPr>
          <w:rFonts w:ascii="Arial" w:hAnsi="Arial" w:cs="Arial"/>
          <w:lang w:val="en-GB"/>
        </w:rPr>
        <w:t xml:space="preserve"> </w:t>
      </w:r>
      <w:r w:rsidR="00ED1CEC" w:rsidRPr="00D00ACF">
        <w:rPr>
          <w:rFonts w:ascii="Arial" w:hAnsi="Arial" w:cs="Arial"/>
          <w:lang w:val="en-GB"/>
        </w:rPr>
        <w:t>[2]</w:t>
      </w:r>
      <w:r w:rsidR="00D00ACF" w:rsidRPr="00D00ACF">
        <w:rPr>
          <w:rFonts w:ascii="Arial" w:hAnsi="Arial" w:cs="Arial"/>
          <w:lang w:val="en-GB"/>
        </w:rPr>
        <w:t xml:space="preserve">. Some </w:t>
      </w:r>
      <w:r>
        <w:rPr>
          <w:rFonts w:ascii="Arial" w:hAnsi="Arial" w:cs="Arial"/>
          <w:lang w:val="en-GB"/>
        </w:rPr>
        <w:t>products</w:t>
      </w:r>
      <w:r w:rsidR="00D00ACF" w:rsidRPr="00D00ACF">
        <w:rPr>
          <w:rFonts w:ascii="Arial" w:hAnsi="Arial" w:cs="Arial"/>
          <w:lang w:val="en-GB"/>
        </w:rPr>
        <w:t xml:space="preserve"> are already </w:t>
      </w:r>
      <w:r w:rsidR="00647E99">
        <w:rPr>
          <w:rFonts w:ascii="Arial" w:hAnsi="Arial" w:cs="Arial"/>
          <w:lang w:val="en-GB"/>
        </w:rPr>
        <w:t>on the market</w:t>
      </w:r>
      <w:r w:rsidR="00D00ACF" w:rsidRPr="00D00ACF">
        <w:rPr>
          <w:rFonts w:ascii="Arial" w:hAnsi="Arial" w:cs="Arial"/>
          <w:lang w:val="en-GB"/>
        </w:rPr>
        <w:t>, such as the</w:t>
      </w:r>
      <w:r>
        <w:rPr>
          <w:rFonts w:ascii="Arial" w:hAnsi="Arial" w:cs="Arial"/>
          <w:lang w:val="en-GB"/>
        </w:rPr>
        <w:t xml:space="preserve"> ones</w:t>
      </w:r>
      <w:r w:rsidR="00D00ACF" w:rsidRPr="00D00ACF">
        <w:rPr>
          <w:rFonts w:ascii="Arial" w:hAnsi="Arial" w:cs="Arial"/>
          <w:lang w:val="en-GB"/>
        </w:rPr>
        <w:t xml:space="preserve"> exploit</w:t>
      </w:r>
      <w:r>
        <w:rPr>
          <w:rFonts w:ascii="Arial" w:hAnsi="Arial" w:cs="Arial"/>
          <w:lang w:val="en-GB"/>
        </w:rPr>
        <w:t>ing</w:t>
      </w:r>
      <w:r w:rsidR="00D00ACF" w:rsidRPr="00D00ACF">
        <w:rPr>
          <w:rFonts w:ascii="Arial" w:hAnsi="Arial" w:cs="Arial"/>
          <w:lang w:val="en-GB"/>
        </w:rPr>
        <w:t xml:space="preserve"> Brassicaceae in the so-called biofumigation technique </w:t>
      </w:r>
      <w:r w:rsidR="00E22D7C">
        <w:rPr>
          <w:rFonts w:ascii="Arial" w:hAnsi="Arial" w:cs="Arial"/>
          <w:lang w:val="en-GB"/>
        </w:rPr>
        <w:t xml:space="preserve">for plant protection in agriculture </w:t>
      </w:r>
      <w:r w:rsidR="00D00ACF" w:rsidRPr="00D00ACF">
        <w:rPr>
          <w:rFonts w:ascii="Arial" w:hAnsi="Arial" w:cs="Arial"/>
          <w:lang w:val="en-GB"/>
        </w:rPr>
        <w:t xml:space="preserve">[3]. </w:t>
      </w:r>
      <w:r w:rsidR="006469AF">
        <w:rPr>
          <w:rFonts w:ascii="Arial" w:hAnsi="Arial" w:cs="Arial"/>
          <w:lang w:val="en-GB"/>
        </w:rPr>
        <w:t>More recent research focuses on</w:t>
      </w:r>
      <w:r w:rsidR="006469AF" w:rsidRPr="00D00ACF">
        <w:rPr>
          <w:rFonts w:ascii="Arial" w:hAnsi="Arial" w:cs="Arial"/>
          <w:lang w:val="en-GB"/>
        </w:rPr>
        <w:t xml:space="preserve"> </w:t>
      </w:r>
      <w:r w:rsidR="00D00ACF" w:rsidRPr="00D00ACF">
        <w:rPr>
          <w:rFonts w:ascii="Arial" w:hAnsi="Arial" w:cs="Arial"/>
          <w:lang w:val="en-GB"/>
        </w:rPr>
        <w:t xml:space="preserve">applications </w:t>
      </w:r>
      <w:r w:rsidR="00E22D7C">
        <w:rPr>
          <w:rFonts w:ascii="Arial" w:hAnsi="Arial" w:cs="Arial"/>
          <w:lang w:val="en-GB"/>
        </w:rPr>
        <w:t xml:space="preserve">of </w:t>
      </w:r>
      <w:r w:rsidR="006469AF">
        <w:rPr>
          <w:rFonts w:ascii="Arial" w:hAnsi="Arial" w:cs="Arial"/>
          <w:lang w:val="en-GB"/>
        </w:rPr>
        <w:t xml:space="preserve">products </w:t>
      </w:r>
      <w:r w:rsidR="00E22D7C">
        <w:rPr>
          <w:rFonts w:ascii="Arial" w:hAnsi="Arial" w:cs="Arial"/>
          <w:lang w:val="en-GB"/>
        </w:rPr>
        <w:t xml:space="preserve">derived from </w:t>
      </w:r>
      <w:r w:rsidR="006469AF">
        <w:rPr>
          <w:rFonts w:ascii="Arial" w:hAnsi="Arial" w:cs="Arial"/>
          <w:lang w:val="en-GB"/>
        </w:rPr>
        <w:t xml:space="preserve">their </w:t>
      </w:r>
      <w:r w:rsidR="00E22D7C">
        <w:rPr>
          <w:rFonts w:ascii="Arial" w:hAnsi="Arial" w:cs="Arial"/>
          <w:lang w:val="en-GB"/>
        </w:rPr>
        <w:t>defatted seed meals</w:t>
      </w:r>
      <w:r w:rsidR="00647E99">
        <w:rPr>
          <w:rFonts w:ascii="Arial" w:hAnsi="Arial" w:cs="Arial"/>
          <w:lang w:val="en-GB"/>
        </w:rPr>
        <w:t>,</w:t>
      </w:r>
      <w:r w:rsidR="00D00ACF" w:rsidRPr="00D00ACF">
        <w:rPr>
          <w:rFonts w:ascii="Arial" w:hAnsi="Arial" w:cs="Arial"/>
          <w:lang w:val="en-GB"/>
        </w:rPr>
        <w:t xml:space="preserve"> such as the </w:t>
      </w:r>
      <w:r w:rsidR="00E22D7C">
        <w:rPr>
          <w:rFonts w:ascii="Arial" w:hAnsi="Arial" w:cs="Arial"/>
          <w:lang w:val="en-GB"/>
        </w:rPr>
        <w:t xml:space="preserve">protein hydrolysates with potential </w:t>
      </w:r>
      <w:r w:rsidR="00647E99">
        <w:rPr>
          <w:rFonts w:ascii="Arial" w:hAnsi="Arial" w:cs="Arial"/>
          <w:lang w:val="en-GB"/>
        </w:rPr>
        <w:t>biostimulant</w:t>
      </w:r>
      <w:r w:rsidR="00E22D7C">
        <w:rPr>
          <w:rFonts w:ascii="Arial" w:hAnsi="Arial" w:cs="Arial"/>
          <w:lang w:val="en-GB"/>
        </w:rPr>
        <w:t xml:space="preserve"> properties on plants growth</w:t>
      </w:r>
      <w:r w:rsidR="00647E99">
        <w:rPr>
          <w:rFonts w:ascii="Arial" w:hAnsi="Arial" w:cs="Arial"/>
          <w:lang w:val="en-GB"/>
        </w:rPr>
        <w:t xml:space="preserve"> </w:t>
      </w:r>
      <w:r w:rsidR="00D00ACF" w:rsidRPr="00D00ACF">
        <w:rPr>
          <w:rFonts w:ascii="Arial" w:hAnsi="Arial" w:cs="Arial"/>
          <w:lang w:val="en-GB"/>
        </w:rPr>
        <w:t xml:space="preserve">[4] or extracts </w:t>
      </w:r>
      <w:r w:rsidR="00A67EF9">
        <w:rPr>
          <w:rFonts w:ascii="Arial" w:hAnsi="Arial" w:cs="Arial"/>
          <w:lang w:val="en-GB"/>
        </w:rPr>
        <w:t>w</w:t>
      </w:r>
      <w:r w:rsidR="00A67EF9" w:rsidRPr="00A67EF9">
        <w:rPr>
          <w:rFonts w:ascii="Arial" w:hAnsi="Arial" w:cs="Arial"/>
          <w:lang w:val="en-GB"/>
        </w:rPr>
        <w:t>ith nutraceutical properties for human health and honeybee protection</w:t>
      </w:r>
      <w:r w:rsidR="00A67EF9" w:rsidRPr="00A67EF9" w:rsidDel="00A67EF9">
        <w:rPr>
          <w:rFonts w:ascii="Arial" w:hAnsi="Arial" w:cs="Arial"/>
          <w:lang w:val="en-GB"/>
        </w:rPr>
        <w:t xml:space="preserve"> </w:t>
      </w:r>
      <w:r w:rsidR="00D00ACF" w:rsidRPr="00D00ACF">
        <w:rPr>
          <w:rFonts w:ascii="Arial" w:hAnsi="Arial" w:cs="Arial"/>
          <w:lang w:val="en-GB"/>
        </w:rPr>
        <w:t>[5;6]. An</w:t>
      </w:r>
      <w:r w:rsidR="006469AF">
        <w:rPr>
          <w:rFonts w:ascii="Arial" w:hAnsi="Arial" w:cs="Arial"/>
          <w:lang w:val="en-GB"/>
        </w:rPr>
        <w:t>other</w:t>
      </w:r>
      <w:r w:rsidR="00D00ACF" w:rsidRPr="00D00ACF">
        <w:rPr>
          <w:rFonts w:ascii="Arial" w:hAnsi="Arial" w:cs="Arial"/>
          <w:lang w:val="en-GB"/>
        </w:rPr>
        <w:t xml:space="preserve"> interesting example </w:t>
      </w:r>
      <w:r w:rsidR="006469AF">
        <w:rPr>
          <w:rFonts w:ascii="Arial" w:hAnsi="Arial" w:cs="Arial"/>
          <w:lang w:val="en-GB"/>
        </w:rPr>
        <w:t xml:space="preserve">of applications </w:t>
      </w:r>
      <w:r w:rsidR="006469AF" w:rsidRPr="00D00ACF">
        <w:rPr>
          <w:rFonts w:ascii="Arial" w:hAnsi="Arial" w:cs="Arial"/>
          <w:lang w:val="en-GB"/>
        </w:rPr>
        <w:t xml:space="preserve">in a Mediterranean environment </w:t>
      </w:r>
      <w:r w:rsidR="00D00ACF" w:rsidRPr="00D00ACF">
        <w:rPr>
          <w:rFonts w:ascii="Arial" w:hAnsi="Arial" w:cs="Arial"/>
          <w:lang w:val="en-GB"/>
        </w:rPr>
        <w:t>concerned the cultivation, rainfed</w:t>
      </w:r>
      <w:bookmarkStart w:id="0" w:name="_GoBack"/>
      <w:bookmarkEnd w:id="0"/>
      <w:r w:rsidR="00D00ACF" w:rsidRPr="00D00ACF">
        <w:rPr>
          <w:rFonts w:ascii="Arial" w:hAnsi="Arial" w:cs="Arial"/>
          <w:lang w:val="en-GB"/>
        </w:rPr>
        <w:t xml:space="preserve"> and with minimal agronomic inputs, of </w:t>
      </w:r>
      <w:r w:rsidR="00D00ACF" w:rsidRPr="00647E99">
        <w:rPr>
          <w:rFonts w:ascii="Arial" w:hAnsi="Arial" w:cs="Arial"/>
          <w:i/>
          <w:lang w:val="en-GB"/>
        </w:rPr>
        <w:t>Eruca sativa</w:t>
      </w:r>
      <w:r w:rsidR="00D00ACF" w:rsidRPr="00D00ACF">
        <w:rPr>
          <w:rFonts w:ascii="Arial" w:hAnsi="Arial" w:cs="Arial"/>
          <w:lang w:val="en-GB"/>
        </w:rPr>
        <w:t xml:space="preserve"> and </w:t>
      </w:r>
      <w:r w:rsidR="00D00ACF" w:rsidRPr="00647E99">
        <w:rPr>
          <w:rFonts w:ascii="Arial" w:hAnsi="Arial" w:cs="Arial"/>
          <w:i/>
          <w:lang w:val="en-GB"/>
        </w:rPr>
        <w:t>Camelina sativa</w:t>
      </w:r>
      <w:r w:rsidR="00D00ACF" w:rsidRPr="00D00ACF">
        <w:rPr>
          <w:rFonts w:ascii="Arial" w:hAnsi="Arial" w:cs="Arial"/>
          <w:lang w:val="en-GB"/>
        </w:rPr>
        <w:t xml:space="preserve"> for the production of </w:t>
      </w:r>
      <w:r w:rsidR="001F11FE">
        <w:rPr>
          <w:rFonts w:ascii="Arial" w:hAnsi="Arial" w:cs="Arial"/>
          <w:lang w:val="en-GB"/>
        </w:rPr>
        <w:t>biomasses</w:t>
      </w:r>
      <w:r w:rsidR="001F11FE" w:rsidRPr="00D00ACF">
        <w:rPr>
          <w:rFonts w:ascii="Arial" w:hAnsi="Arial" w:cs="Arial"/>
          <w:lang w:val="en-GB"/>
        </w:rPr>
        <w:t xml:space="preserve"> </w:t>
      </w:r>
      <w:r w:rsidR="00D00ACF" w:rsidRPr="00D00ACF">
        <w:rPr>
          <w:rFonts w:ascii="Arial" w:hAnsi="Arial" w:cs="Arial"/>
          <w:lang w:val="en-GB"/>
        </w:rPr>
        <w:t>enriched in bioactive molecules, in particular glucosinolates [7</w:t>
      </w:r>
      <w:r w:rsidR="00D40216">
        <w:rPr>
          <w:rFonts w:ascii="Arial" w:hAnsi="Arial" w:cs="Arial"/>
          <w:lang w:val="en-GB"/>
        </w:rPr>
        <w:t>, 8</w:t>
      </w:r>
      <w:r w:rsidR="00D00ACF" w:rsidRPr="00D00ACF">
        <w:rPr>
          <w:rFonts w:ascii="Arial" w:hAnsi="Arial" w:cs="Arial"/>
          <w:lang w:val="en-GB"/>
        </w:rPr>
        <w:t>]. Certainly, compared to rapeseed</w:t>
      </w:r>
      <w:r w:rsidR="0043451E">
        <w:rPr>
          <w:rFonts w:ascii="Arial" w:hAnsi="Arial" w:cs="Arial"/>
          <w:lang w:val="en-GB"/>
        </w:rPr>
        <w:t>,</w:t>
      </w:r>
      <w:r w:rsidR="00470EBC" w:rsidRPr="00470EBC">
        <w:rPr>
          <w:rFonts w:ascii="Arial" w:hAnsi="Arial" w:cs="Arial"/>
          <w:lang w:val="en-GB"/>
        </w:rPr>
        <w:t xml:space="preserve"> </w:t>
      </w:r>
      <w:r w:rsidR="00470EBC">
        <w:rPr>
          <w:rFonts w:ascii="Arial" w:hAnsi="Arial" w:cs="Arial"/>
          <w:lang w:val="en-GB"/>
        </w:rPr>
        <w:t>agronomic</w:t>
      </w:r>
      <w:r w:rsidR="00470EBC" w:rsidRPr="00D00ACF">
        <w:rPr>
          <w:rFonts w:ascii="Arial" w:hAnsi="Arial" w:cs="Arial"/>
          <w:lang w:val="en-GB"/>
        </w:rPr>
        <w:t xml:space="preserve"> yields remain low</w:t>
      </w:r>
      <w:r w:rsidR="00D00ACF" w:rsidRPr="00D00ACF">
        <w:rPr>
          <w:rFonts w:ascii="Arial" w:hAnsi="Arial" w:cs="Arial"/>
          <w:lang w:val="en-GB"/>
        </w:rPr>
        <w:t xml:space="preserve">, </w:t>
      </w:r>
      <w:r w:rsidR="00470EBC">
        <w:rPr>
          <w:rFonts w:ascii="Arial" w:hAnsi="Arial" w:cs="Arial"/>
          <w:lang w:val="en-GB"/>
        </w:rPr>
        <w:t xml:space="preserve">but these plants fit better in </w:t>
      </w:r>
      <w:r w:rsidR="007F58C3">
        <w:rPr>
          <w:rFonts w:ascii="Arial" w:hAnsi="Arial" w:cs="Arial"/>
          <w:lang w:val="en-GB"/>
        </w:rPr>
        <w:t>Mediterranean climate</w:t>
      </w:r>
      <w:r w:rsidR="00D00ACF" w:rsidRPr="00D00ACF">
        <w:rPr>
          <w:rFonts w:ascii="Arial" w:hAnsi="Arial" w:cs="Arial"/>
          <w:lang w:val="en-GB"/>
        </w:rPr>
        <w:t xml:space="preserve"> </w:t>
      </w:r>
      <w:r w:rsidR="00470EBC">
        <w:rPr>
          <w:rFonts w:ascii="Arial" w:hAnsi="Arial" w:cs="Arial"/>
          <w:lang w:val="en-GB"/>
        </w:rPr>
        <w:t>and</w:t>
      </w:r>
      <w:r w:rsidR="00D00ACF" w:rsidRPr="00D00ACF">
        <w:rPr>
          <w:rFonts w:ascii="Arial" w:hAnsi="Arial" w:cs="Arial"/>
          <w:lang w:val="en-GB"/>
        </w:rPr>
        <w:t xml:space="preserve"> the work of varietal selection</w:t>
      </w:r>
      <w:r w:rsidR="00470EBC">
        <w:rPr>
          <w:rFonts w:ascii="Arial" w:hAnsi="Arial" w:cs="Arial"/>
          <w:lang w:val="en-GB"/>
        </w:rPr>
        <w:t>,</w:t>
      </w:r>
      <w:r w:rsidR="00D00ACF" w:rsidRPr="00D00ACF">
        <w:rPr>
          <w:rFonts w:ascii="Arial" w:hAnsi="Arial" w:cs="Arial"/>
          <w:lang w:val="en-GB"/>
        </w:rPr>
        <w:t xml:space="preserve"> breeding</w:t>
      </w:r>
      <w:r w:rsidR="006469AF">
        <w:rPr>
          <w:rFonts w:ascii="Arial" w:hAnsi="Arial" w:cs="Arial"/>
          <w:lang w:val="en-GB"/>
        </w:rPr>
        <w:t>,</w:t>
      </w:r>
      <w:r w:rsidR="00D00ACF" w:rsidRPr="00D00ACF">
        <w:rPr>
          <w:rFonts w:ascii="Arial" w:hAnsi="Arial" w:cs="Arial"/>
          <w:lang w:val="en-GB"/>
        </w:rPr>
        <w:t xml:space="preserve"> and the study of the best cultivation </w:t>
      </w:r>
      <w:r w:rsidR="00647E99">
        <w:rPr>
          <w:rFonts w:ascii="Arial" w:hAnsi="Arial" w:cs="Arial"/>
          <w:lang w:val="en-GB"/>
        </w:rPr>
        <w:t>techniques</w:t>
      </w:r>
      <w:r w:rsidR="00D00ACF" w:rsidRPr="00D00ACF">
        <w:rPr>
          <w:rFonts w:ascii="Arial" w:hAnsi="Arial" w:cs="Arial"/>
          <w:lang w:val="en-GB"/>
        </w:rPr>
        <w:t xml:space="preserve"> are still in their infancy</w:t>
      </w:r>
      <w:r w:rsidR="00D40216">
        <w:rPr>
          <w:rFonts w:ascii="Arial" w:hAnsi="Arial" w:cs="Arial"/>
          <w:lang w:val="en-GB"/>
        </w:rPr>
        <w:t>.</w:t>
      </w:r>
      <w:r w:rsidR="007F58C3">
        <w:rPr>
          <w:rFonts w:ascii="Arial" w:hAnsi="Arial" w:cs="Arial"/>
          <w:lang w:val="en-GB"/>
        </w:rPr>
        <w:t xml:space="preserve"> For these reasons, </w:t>
      </w:r>
      <w:r w:rsidR="00647E99">
        <w:rPr>
          <w:rFonts w:ascii="Arial" w:hAnsi="Arial" w:cs="Arial"/>
          <w:lang w:val="en-GB"/>
        </w:rPr>
        <w:t xml:space="preserve">in the next future the opportunities given by these plants </w:t>
      </w:r>
      <w:r w:rsidR="00C90F3D">
        <w:rPr>
          <w:rFonts w:ascii="Arial" w:hAnsi="Arial" w:cs="Arial"/>
          <w:lang w:val="en-GB"/>
        </w:rPr>
        <w:t xml:space="preserve">may </w:t>
      </w:r>
      <w:r w:rsidR="00647E99">
        <w:rPr>
          <w:rFonts w:ascii="Arial" w:hAnsi="Arial" w:cs="Arial"/>
          <w:lang w:val="en-GB"/>
        </w:rPr>
        <w:t>overcome the problems related to their cultivation.</w:t>
      </w:r>
    </w:p>
    <w:p w14:paraId="74BD1139" w14:textId="77777777" w:rsidR="00D8674B" w:rsidRPr="00D00ACF" w:rsidRDefault="00D8674B" w:rsidP="00D8674B">
      <w:pPr>
        <w:ind w:left="1134" w:right="1134"/>
        <w:mirrorIndents/>
        <w:jc w:val="both"/>
        <w:rPr>
          <w:rFonts w:ascii="Arial" w:hAnsi="Arial" w:cs="Arial"/>
          <w:lang w:val="en-GB"/>
        </w:rPr>
      </w:pPr>
    </w:p>
    <w:p w14:paraId="45DF6EF7" w14:textId="77777777" w:rsidR="00D00ACF" w:rsidRPr="00D00ACF" w:rsidRDefault="00D00ACF" w:rsidP="00D00ACF">
      <w:pPr>
        <w:ind w:left="1134" w:right="1134"/>
        <w:mirrorIndents/>
        <w:jc w:val="both"/>
        <w:rPr>
          <w:rFonts w:ascii="Arial" w:hAnsi="Arial" w:cs="Arial"/>
          <w:lang w:val="en-GB"/>
        </w:rPr>
      </w:pPr>
    </w:p>
    <w:p w14:paraId="27B0DEF6" w14:textId="77777777" w:rsidR="00D00ACF" w:rsidRPr="00D00ACF" w:rsidRDefault="00D00ACF" w:rsidP="00D00ACF">
      <w:pPr>
        <w:ind w:left="1134" w:right="1134"/>
        <w:mirrorIndents/>
        <w:jc w:val="both"/>
        <w:rPr>
          <w:rFonts w:ascii="Arial" w:hAnsi="Arial" w:cs="Arial"/>
          <w:b/>
          <w:lang w:val="en-GB"/>
        </w:rPr>
      </w:pPr>
      <w:r w:rsidRPr="00D00ACF">
        <w:rPr>
          <w:rFonts w:ascii="Arial" w:hAnsi="Arial" w:cs="Arial"/>
          <w:b/>
          <w:lang w:val="en-GB"/>
        </w:rPr>
        <w:t>References</w:t>
      </w:r>
    </w:p>
    <w:p w14:paraId="4766460E" w14:textId="77777777" w:rsidR="00D00ACF" w:rsidRPr="00E56A98" w:rsidRDefault="00D00ACF" w:rsidP="00D00ACF">
      <w:pPr>
        <w:ind w:left="1134" w:right="1134"/>
        <w:mirrorIndents/>
        <w:jc w:val="both"/>
        <w:rPr>
          <w:rFonts w:ascii="Arial" w:hAnsi="Arial" w:cs="Arial"/>
          <w:lang w:val="en-GB"/>
        </w:rPr>
      </w:pPr>
      <w:r w:rsidRPr="00E56A98">
        <w:rPr>
          <w:rFonts w:ascii="Arial" w:hAnsi="Arial" w:cs="Arial"/>
          <w:lang w:val="en-GB"/>
        </w:rPr>
        <w:t xml:space="preserve">[1] FAOSTAT, </w:t>
      </w:r>
      <w:hyperlink r:id="rId4" w:history="1">
        <w:r w:rsidRPr="00E56A98">
          <w:rPr>
            <w:rStyle w:val="Collegamentoipertestuale"/>
            <w:rFonts w:ascii="Arial" w:hAnsi="Arial" w:cs="Arial"/>
            <w:lang w:val="en-GB"/>
          </w:rPr>
          <w:t>https://www.fao.org</w:t>
        </w:r>
      </w:hyperlink>
    </w:p>
    <w:p w14:paraId="399A53E3" w14:textId="1086136F" w:rsidR="00D00ACF" w:rsidRDefault="00D00ACF" w:rsidP="00A67EF9">
      <w:pPr>
        <w:ind w:left="1134" w:right="1134"/>
        <w:mirrorIndents/>
        <w:jc w:val="both"/>
        <w:rPr>
          <w:rFonts w:ascii="Arial" w:hAnsi="Arial" w:cs="Arial"/>
          <w:lang w:val="en-GB"/>
        </w:rPr>
      </w:pPr>
      <w:r w:rsidRPr="009C7159">
        <w:rPr>
          <w:rFonts w:ascii="Arial" w:hAnsi="Arial" w:cs="Arial"/>
        </w:rPr>
        <w:lastRenderedPageBreak/>
        <w:t xml:space="preserve">[2] </w:t>
      </w:r>
      <w:r w:rsidR="00A67EF9" w:rsidRPr="009C7159">
        <w:rPr>
          <w:rFonts w:ascii="Arial" w:hAnsi="Arial" w:cs="Arial"/>
        </w:rPr>
        <w:t>Lazzeri</w:t>
      </w:r>
      <w:r w:rsidR="00647676">
        <w:rPr>
          <w:rFonts w:ascii="Arial" w:hAnsi="Arial" w:cs="Arial"/>
        </w:rPr>
        <w:t>,</w:t>
      </w:r>
      <w:r w:rsidR="00A67EF9">
        <w:rPr>
          <w:rFonts w:ascii="Arial" w:hAnsi="Arial" w:cs="Arial"/>
        </w:rPr>
        <w:t xml:space="preserve"> L.</w:t>
      </w:r>
      <w:r w:rsidR="00A67EF9" w:rsidRPr="00A67EF9">
        <w:rPr>
          <w:rFonts w:ascii="Arial" w:hAnsi="Arial" w:cs="Arial"/>
        </w:rPr>
        <w:t>, Riva</w:t>
      </w:r>
      <w:r w:rsidR="00647676">
        <w:rPr>
          <w:rFonts w:ascii="Arial" w:hAnsi="Arial" w:cs="Arial"/>
        </w:rPr>
        <w:t>,</w:t>
      </w:r>
      <w:r w:rsidR="00A67EF9">
        <w:rPr>
          <w:rFonts w:ascii="Arial" w:hAnsi="Arial" w:cs="Arial"/>
        </w:rPr>
        <w:t xml:space="preserve"> G</w:t>
      </w:r>
      <w:r w:rsidR="00647676">
        <w:rPr>
          <w:rFonts w:ascii="Arial" w:hAnsi="Arial" w:cs="Arial"/>
        </w:rPr>
        <w:t>.</w:t>
      </w:r>
      <w:r w:rsidR="00A67EF9" w:rsidRPr="00A67EF9">
        <w:rPr>
          <w:rFonts w:ascii="Arial" w:hAnsi="Arial" w:cs="Arial"/>
        </w:rPr>
        <w:t>, D’Avino</w:t>
      </w:r>
      <w:r w:rsidR="00647676">
        <w:rPr>
          <w:rFonts w:ascii="Arial" w:hAnsi="Arial" w:cs="Arial"/>
        </w:rPr>
        <w:t>,</w:t>
      </w:r>
      <w:r w:rsidR="00A67EF9">
        <w:rPr>
          <w:rFonts w:ascii="Arial" w:hAnsi="Arial" w:cs="Arial"/>
        </w:rPr>
        <w:t xml:space="preserve"> L.</w:t>
      </w:r>
      <w:r w:rsidR="00A67EF9" w:rsidRPr="00A67EF9">
        <w:rPr>
          <w:rFonts w:ascii="Arial" w:hAnsi="Arial" w:cs="Arial"/>
        </w:rPr>
        <w:t>, Foppa Pedretti</w:t>
      </w:r>
      <w:r w:rsidR="00647676">
        <w:rPr>
          <w:rFonts w:ascii="Arial" w:hAnsi="Arial" w:cs="Arial"/>
        </w:rPr>
        <w:t>,</w:t>
      </w:r>
      <w:r w:rsidR="00A67EF9">
        <w:rPr>
          <w:rFonts w:ascii="Arial" w:hAnsi="Arial" w:cs="Arial"/>
        </w:rPr>
        <w:t xml:space="preserve"> E.. </w:t>
      </w:r>
      <w:r w:rsidR="00A67EF9" w:rsidRPr="00E56A98">
        <w:rPr>
          <w:rFonts w:ascii="Arial" w:hAnsi="Arial" w:cs="Arial"/>
          <w:lang w:val="en-GB"/>
        </w:rPr>
        <w:t>“Short introduction to the VALSO and EXTRAVALORE project activities, Industrial Crops and Products, Volume 75, Part A, Pages 1-7, (2015).</w:t>
      </w:r>
    </w:p>
    <w:p w14:paraId="70910C45" w14:textId="7C1622D2" w:rsidR="00ED1CEC" w:rsidRDefault="00ED1CEC" w:rsidP="00D00ACF">
      <w:pPr>
        <w:ind w:left="1134" w:right="1134"/>
        <w:mirrorIndents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[3] </w:t>
      </w:r>
      <w:r w:rsidRPr="00ED1CEC">
        <w:rPr>
          <w:rFonts w:ascii="Arial" w:hAnsi="Arial" w:cs="Arial"/>
          <w:lang w:val="en-GB"/>
        </w:rPr>
        <w:t>Lazzeri</w:t>
      </w:r>
      <w:r w:rsidR="00647676">
        <w:rPr>
          <w:rFonts w:ascii="Arial" w:hAnsi="Arial" w:cs="Arial"/>
          <w:lang w:val="en-GB"/>
        </w:rPr>
        <w:t>,</w:t>
      </w:r>
      <w:r w:rsidRPr="00ED1CEC">
        <w:rPr>
          <w:rFonts w:ascii="Arial" w:hAnsi="Arial" w:cs="Arial"/>
          <w:lang w:val="en-GB"/>
        </w:rPr>
        <w:t xml:space="preserve"> L., Malaguti</w:t>
      </w:r>
      <w:r w:rsidR="00647676">
        <w:rPr>
          <w:rFonts w:ascii="Arial" w:hAnsi="Arial" w:cs="Arial"/>
          <w:lang w:val="en-GB"/>
        </w:rPr>
        <w:t>,</w:t>
      </w:r>
      <w:r w:rsidRPr="00ED1CEC">
        <w:rPr>
          <w:rFonts w:ascii="Arial" w:hAnsi="Arial" w:cs="Arial"/>
          <w:lang w:val="en-GB"/>
        </w:rPr>
        <w:t xml:space="preserve"> L., Cinti</w:t>
      </w:r>
      <w:r w:rsidR="00647676">
        <w:rPr>
          <w:rFonts w:ascii="Arial" w:hAnsi="Arial" w:cs="Arial"/>
          <w:lang w:val="en-GB"/>
        </w:rPr>
        <w:t>,</w:t>
      </w:r>
      <w:r w:rsidRPr="00ED1CEC">
        <w:rPr>
          <w:rFonts w:ascii="Arial" w:hAnsi="Arial" w:cs="Arial"/>
          <w:lang w:val="en-GB"/>
        </w:rPr>
        <w:t xml:space="preserve"> S., Ugolini</w:t>
      </w:r>
      <w:r w:rsidR="00647676">
        <w:rPr>
          <w:rFonts w:ascii="Arial" w:hAnsi="Arial" w:cs="Arial"/>
          <w:lang w:val="en-GB"/>
        </w:rPr>
        <w:t>,</w:t>
      </w:r>
      <w:r w:rsidRPr="00ED1CEC">
        <w:rPr>
          <w:rFonts w:ascii="Arial" w:hAnsi="Arial" w:cs="Arial"/>
          <w:lang w:val="en-GB"/>
        </w:rPr>
        <w:t xml:space="preserve"> L., De Nicola</w:t>
      </w:r>
      <w:r w:rsidR="00647676">
        <w:rPr>
          <w:rFonts w:ascii="Arial" w:hAnsi="Arial" w:cs="Arial"/>
          <w:lang w:val="en-GB"/>
        </w:rPr>
        <w:t>,</w:t>
      </w:r>
      <w:r w:rsidRPr="00ED1CEC">
        <w:rPr>
          <w:rFonts w:ascii="Arial" w:hAnsi="Arial" w:cs="Arial"/>
          <w:lang w:val="en-GB"/>
        </w:rPr>
        <w:t xml:space="preserve"> G. R., Bagatta</w:t>
      </w:r>
      <w:r w:rsidR="00647676">
        <w:rPr>
          <w:rFonts w:ascii="Arial" w:hAnsi="Arial" w:cs="Arial"/>
          <w:lang w:val="en-GB"/>
        </w:rPr>
        <w:t>,</w:t>
      </w:r>
      <w:r w:rsidRPr="00ED1CEC">
        <w:rPr>
          <w:rFonts w:ascii="Arial" w:hAnsi="Arial" w:cs="Arial"/>
          <w:lang w:val="en-GB"/>
        </w:rPr>
        <w:t xml:space="preserve"> M., Matteo</w:t>
      </w:r>
      <w:r w:rsidR="00647676">
        <w:rPr>
          <w:rFonts w:ascii="Arial" w:hAnsi="Arial" w:cs="Arial"/>
          <w:lang w:val="en-GB"/>
        </w:rPr>
        <w:t>,</w:t>
      </w:r>
      <w:r w:rsidRPr="00ED1CEC">
        <w:rPr>
          <w:rFonts w:ascii="Arial" w:hAnsi="Arial" w:cs="Arial"/>
          <w:lang w:val="en-GB"/>
        </w:rPr>
        <w:t xml:space="preserve"> R., Casa</w:t>
      </w:r>
      <w:r>
        <w:rPr>
          <w:rFonts w:ascii="Arial" w:hAnsi="Arial" w:cs="Arial"/>
          <w:lang w:val="en-GB"/>
        </w:rPr>
        <w:t>dei</w:t>
      </w:r>
      <w:r w:rsidR="00647676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N., Patalano</w:t>
      </w:r>
      <w:r w:rsidR="00647676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G., D’Avino</w:t>
      </w:r>
      <w:r w:rsidR="00647676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L.,</w:t>
      </w:r>
      <w:r w:rsidRPr="00ED1CE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“</w:t>
      </w:r>
      <w:r w:rsidRPr="00ED1CEC">
        <w:rPr>
          <w:rFonts w:ascii="Arial" w:hAnsi="Arial" w:cs="Arial"/>
          <w:lang w:val="en-GB"/>
        </w:rPr>
        <w:t>The Brassicaceae Biofumigation System for Plant Cultivation and Defense. An Italian Twenty-Year Experience of Study and Application</w:t>
      </w:r>
      <w:r>
        <w:rPr>
          <w:rFonts w:ascii="Arial" w:hAnsi="Arial" w:cs="Arial"/>
          <w:lang w:val="en-GB"/>
        </w:rPr>
        <w:t>”</w:t>
      </w:r>
      <w:r w:rsidRPr="00ED1CEC">
        <w:rPr>
          <w:rFonts w:ascii="Arial" w:hAnsi="Arial" w:cs="Arial"/>
          <w:lang w:val="en-GB"/>
        </w:rPr>
        <w:t xml:space="preserve"> Acta Horticulture</w:t>
      </w:r>
      <w:r>
        <w:rPr>
          <w:rFonts w:ascii="Arial" w:hAnsi="Arial" w:cs="Arial"/>
          <w:lang w:val="en-GB"/>
        </w:rPr>
        <w:t>,</w:t>
      </w:r>
      <w:r w:rsidRPr="00ED1CEC">
        <w:rPr>
          <w:rFonts w:ascii="Arial" w:hAnsi="Arial" w:cs="Arial"/>
          <w:lang w:val="en-GB"/>
        </w:rPr>
        <w:t xml:space="preserve"> 1005:375-382</w:t>
      </w:r>
      <w:r>
        <w:rPr>
          <w:rFonts w:ascii="Arial" w:hAnsi="Arial" w:cs="Arial"/>
          <w:lang w:val="en-GB"/>
        </w:rPr>
        <w:t>, (2013).</w:t>
      </w:r>
    </w:p>
    <w:p w14:paraId="0790A6FC" w14:textId="77777777" w:rsidR="00ED1CEC" w:rsidRDefault="00ED1CEC" w:rsidP="00D00ACF">
      <w:pPr>
        <w:ind w:left="1134" w:right="1134"/>
        <w:mirrorIndents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[4] </w:t>
      </w:r>
      <w:r w:rsidR="00533FCE" w:rsidRPr="00533FCE">
        <w:rPr>
          <w:rFonts w:ascii="Arial" w:hAnsi="Arial" w:cs="Arial"/>
          <w:lang w:val="en-GB"/>
        </w:rPr>
        <w:t>Ugolini, L.; Malaguti, L.; Matteo, R.; Pagnotta, E.; Beleggia, R.; Righetti, L.</w:t>
      </w:r>
      <w:r w:rsidR="00533FCE">
        <w:rPr>
          <w:rFonts w:ascii="Arial" w:hAnsi="Arial" w:cs="Arial"/>
          <w:lang w:val="en-GB"/>
        </w:rPr>
        <w:t>,</w:t>
      </w:r>
      <w:r w:rsidR="00533FCE" w:rsidRPr="00533FCE">
        <w:rPr>
          <w:rFonts w:ascii="Arial" w:hAnsi="Arial" w:cs="Arial"/>
          <w:lang w:val="en-GB"/>
        </w:rPr>
        <w:t xml:space="preserve"> </w:t>
      </w:r>
      <w:r w:rsidR="00533FCE">
        <w:rPr>
          <w:rFonts w:ascii="Arial" w:hAnsi="Arial" w:cs="Arial"/>
          <w:lang w:val="en-GB"/>
        </w:rPr>
        <w:t>“</w:t>
      </w:r>
      <w:r w:rsidR="00533FCE" w:rsidRPr="00533FCE">
        <w:rPr>
          <w:rFonts w:ascii="Arial" w:hAnsi="Arial" w:cs="Arial"/>
          <w:lang w:val="en-GB"/>
        </w:rPr>
        <w:t>Protein Hydrolysates from Crambe abyssinica Seed Cake as Potential Biostimulants for Root Development</w:t>
      </w:r>
      <w:r w:rsidR="00533FCE">
        <w:rPr>
          <w:rFonts w:ascii="Arial" w:hAnsi="Arial" w:cs="Arial"/>
          <w:lang w:val="en-GB"/>
        </w:rPr>
        <w:t>”, Agronomy</w:t>
      </w:r>
      <w:r w:rsidR="00533FCE" w:rsidRPr="00533FCE">
        <w:rPr>
          <w:rFonts w:ascii="Arial" w:hAnsi="Arial" w:cs="Arial"/>
          <w:lang w:val="en-GB"/>
        </w:rPr>
        <w:t>, 13, 2755</w:t>
      </w:r>
      <w:r w:rsidR="00533FCE">
        <w:rPr>
          <w:rFonts w:ascii="Arial" w:hAnsi="Arial" w:cs="Arial"/>
          <w:lang w:val="en-GB"/>
        </w:rPr>
        <w:t>, (2023).</w:t>
      </w:r>
    </w:p>
    <w:p w14:paraId="5362C506" w14:textId="77777777" w:rsidR="00F7292E" w:rsidRPr="00A67EF9" w:rsidRDefault="00F7292E" w:rsidP="00D00ACF">
      <w:pPr>
        <w:ind w:left="1134" w:right="1134"/>
        <w:mirrorIndents/>
        <w:jc w:val="both"/>
        <w:rPr>
          <w:rFonts w:ascii="Arial" w:hAnsi="Arial" w:cs="Arial"/>
        </w:rPr>
      </w:pPr>
      <w:r w:rsidRPr="00A67EF9">
        <w:rPr>
          <w:rFonts w:ascii="Arial" w:hAnsi="Arial" w:cs="Arial"/>
        </w:rPr>
        <w:t xml:space="preserve">[5] Testai, L., Pagnotta, E., Piragine, E., Flori, L., Citi, V., Martelli, A., Mannelli, L. D. C., Ghelardini, C., Matteo, R., Suriano, S., Troccoli, A., Pecchioni, N., &amp; Calderone, V.. </w:t>
      </w:r>
      <w:r w:rsidRPr="00F7292E">
        <w:rPr>
          <w:rFonts w:ascii="Arial" w:hAnsi="Arial" w:cs="Arial"/>
          <w:lang w:val="en-GB"/>
        </w:rPr>
        <w:t xml:space="preserve">Cardiovascular benefits of Eruca sativa mill. Defatted seed meal extract: Potential role of hydrogen sulfide. </w:t>
      </w:r>
      <w:r w:rsidRPr="00A67EF9">
        <w:rPr>
          <w:rFonts w:ascii="Arial" w:hAnsi="Arial" w:cs="Arial"/>
        </w:rPr>
        <w:t>Phytotherapy Research, 36(6), 2616–2627, (2022).</w:t>
      </w:r>
    </w:p>
    <w:p w14:paraId="0F2D48DB" w14:textId="2BB3D3AD" w:rsidR="00F7292E" w:rsidRDefault="00F7292E" w:rsidP="00D00ACF">
      <w:pPr>
        <w:ind w:left="1134" w:right="1134"/>
        <w:mirrorIndents/>
        <w:jc w:val="both"/>
        <w:rPr>
          <w:rFonts w:ascii="Arial" w:hAnsi="Arial" w:cs="Arial"/>
          <w:lang w:val="en-GB"/>
        </w:rPr>
      </w:pPr>
      <w:r w:rsidRPr="00A67EF9">
        <w:rPr>
          <w:rFonts w:ascii="Arial" w:hAnsi="Arial" w:cs="Arial"/>
        </w:rPr>
        <w:t>[6]</w:t>
      </w:r>
      <w:r w:rsidR="00F90AAE" w:rsidRPr="00A67EF9">
        <w:rPr>
          <w:rFonts w:ascii="Arial" w:hAnsi="Arial" w:cs="Arial"/>
        </w:rPr>
        <w:t xml:space="preserve"> Piragine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E., Flori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L., Di Cesare Mannelli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L., Ghelardini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C., Pagnotta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E., Matteo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R., Lazzeri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L., Martelli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A., Miragliotta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V., Pirone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A., Testai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L., Calderone</w:t>
      </w:r>
      <w:r w:rsidR="00647676">
        <w:rPr>
          <w:rFonts w:ascii="Arial" w:hAnsi="Arial" w:cs="Arial"/>
        </w:rPr>
        <w:t>,</w:t>
      </w:r>
      <w:r w:rsidR="00F90AAE" w:rsidRPr="00A67EF9">
        <w:rPr>
          <w:rFonts w:ascii="Arial" w:hAnsi="Arial" w:cs="Arial"/>
        </w:rPr>
        <w:t xml:space="preserve"> V.. </w:t>
      </w:r>
      <w:r w:rsidR="00F90AAE" w:rsidRPr="00F90AAE">
        <w:rPr>
          <w:rFonts w:ascii="Arial" w:hAnsi="Arial" w:cs="Arial"/>
          <w:lang w:val="en-GB"/>
        </w:rPr>
        <w:t>Eruca Sativa Mill. Seed Extract promotes anti-obesity and hypoglycemic effects i</w:t>
      </w:r>
      <w:r w:rsidR="00F90AAE">
        <w:rPr>
          <w:rFonts w:ascii="Arial" w:hAnsi="Arial" w:cs="Arial"/>
          <w:lang w:val="en-GB"/>
        </w:rPr>
        <w:t xml:space="preserve">n mice fed with a high-fat diet, Phytotherapy Research, </w:t>
      </w:r>
      <w:r w:rsidR="00F90AAE" w:rsidRPr="00F90AAE">
        <w:rPr>
          <w:rFonts w:ascii="Arial" w:hAnsi="Arial" w:cs="Arial"/>
          <w:lang w:val="en-GB"/>
        </w:rPr>
        <w:t>1-8</w:t>
      </w:r>
      <w:r w:rsidR="00F90AAE">
        <w:rPr>
          <w:rFonts w:ascii="Arial" w:hAnsi="Arial" w:cs="Arial"/>
          <w:lang w:val="en-GB"/>
        </w:rPr>
        <w:t>, (2020).</w:t>
      </w:r>
    </w:p>
    <w:p w14:paraId="5750AC95" w14:textId="77777777" w:rsidR="00F90AAE" w:rsidRPr="00A67EF9" w:rsidRDefault="00F90AAE" w:rsidP="00D00ACF">
      <w:pPr>
        <w:ind w:left="1134" w:right="1134"/>
        <w:mirrorIndents/>
        <w:jc w:val="both"/>
        <w:rPr>
          <w:rFonts w:ascii="Arial" w:hAnsi="Arial" w:cs="Arial"/>
        </w:rPr>
      </w:pPr>
      <w:r w:rsidRPr="00A67EF9">
        <w:rPr>
          <w:rFonts w:ascii="Arial" w:hAnsi="Arial" w:cs="Arial"/>
        </w:rPr>
        <w:t>[7]</w:t>
      </w:r>
      <w:r w:rsidRPr="00F90AAE">
        <w:t xml:space="preserve"> </w:t>
      </w:r>
      <w:r w:rsidRPr="00A67EF9">
        <w:rPr>
          <w:rFonts w:ascii="Arial" w:hAnsi="Arial" w:cs="Arial"/>
        </w:rPr>
        <w:t xml:space="preserve">Ciccone, V.; Piragine, E.; Gorica, E.; Citi, V.; Testai, L.; Pagnotta, E.; Matteo, R.; Pecchioni, N.; Montanaro, R.; Di Cesare Mannelli, L.; et al. </w:t>
      </w:r>
      <w:r w:rsidRPr="00F90AAE">
        <w:rPr>
          <w:rFonts w:ascii="Arial" w:hAnsi="Arial" w:cs="Arial"/>
          <w:lang w:val="en-GB"/>
        </w:rPr>
        <w:t xml:space="preserve">Anti-Inflammatory Effect of the Natural H2S-Donor Erucin in Vascular Endothelium. </w:t>
      </w:r>
      <w:r w:rsidRPr="00A67EF9">
        <w:rPr>
          <w:rFonts w:ascii="Arial" w:hAnsi="Arial" w:cs="Arial"/>
        </w:rPr>
        <w:t>Int. J. Mol. Sci., 23, 15593, (2022).</w:t>
      </w:r>
    </w:p>
    <w:p w14:paraId="4CF9C4B8" w14:textId="77777777" w:rsidR="00F7292E" w:rsidRDefault="00F90AAE" w:rsidP="00D00ACF">
      <w:pPr>
        <w:ind w:left="1134" w:right="1134"/>
        <w:mirrorIndents/>
        <w:jc w:val="both"/>
        <w:rPr>
          <w:rFonts w:ascii="Arial" w:hAnsi="Arial" w:cs="Arial"/>
          <w:lang w:val="en-GB"/>
        </w:rPr>
      </w:pPr>
      <w:r w:rsidRPr="00A67EF9">
        <w:rPr>
          <w:rFonts w:ascii="Arial" w:hAnsi="Arial" w:cs="Arial"/>
        </w:rPr>
        <w:t xml:space="preserve">[8] Lucarini, E.; Micheli, L.; Pagnotta, E.; Toti, A.; Ferrara, V.; Ciampi, C.; Margiotta, F.; Martelli, A.; Testai, L.; Calderone, V.; et al. </w:t>
      </w:r>
      <w:r w:rsidRPr="00F90AAE">
        <w:rPr>
          <w:rFonts w:ascii="Arial" w:hAnsi="Arial" w:cs="Arial"/>
          <w:lang w:val="en-GB"/>
        </w:rPr>
        <w:t>The Efficacy of Camelina sativa Defatted Seed Meal against Colitis-Induced Persistent Visceral Hypersensitivity: The Relevance of PPAR α Receptor Activation in Pain Relief. Nutrients, 14, 3137</w:t>
      </w:r>
      <w:r>
        <w:rPr>
          <w:rFonts w:ascii="Arial" w:hAnsi="Arial" w:cs="Arial"/>
          <w:lang w:val="en-GB"/>
        </w:rPr>
        <w:t>, (2022).</w:t>
      </w:r>
    </w:p>
    <w:p w14:paraId="24FC9299" w14:textId="77777777" w:rsidR="00F7292E" w:rsidRDefault="00F7292E" w:rsidP="00D00ACF">
      <w:pPr>
        <w:ind w:left="1134" w:right="1134"/>
        <w:mirrorIndents/>
        <w:jc w:val="both"/>
        <w:rPr>
          <w:rFonts w:ascii="Arial" w:hAnsi="Arial" w:cs="Arial"/>
          <w:lang w:val="en-GB"/>
        </w:rPr>
      </w:pPr>
    </w:p>
    <w:p w14:paraId="0890C390" w14:textId="77777777" w:rsidR="00533FCE" w:rsidRPr="00D00ACF" w:rsidRDefault="00533FCE" w:rsidP="00533FCE">
      <w:pPr>
        <w:ind w:right="1134"/>
        <w:mirrorIndents/>
        <w:jc w:val="both"/>
        <w:rPr>
          <w:rFonts w:ascii="Arial" w:hAnsi="Arial" w:cs="Arial"/>
          <w:lang w:val="en-GB"/>
        </w:rPr>
      </w:pPr>
    </w:p>
    <w:sectPr w:rsidR="00533FCE" w:rsidRPr="00D00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F496F0" w16cex:dateUtc="2024-06-05T12:03:00Z"/>
  <w16cex:commentExtensible w16cex:durableId="55DD4365" w16cex:dateUtc="2024-06-06T06:19:00Z"/>
  <w16cex:commentExtensible w16cex:durableId="6980BFC7" w16cex:dateUtc="2024-06-06T06:31:00Z"/>
  <w16cex:commentExtensible w16cex:durableId="25B508B9" w16cex:dateUtc="2024-06-06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6D70C1" w16cid:durableId="2BF496F0"/>
  <w16cid:commentId w16cid:paraId="46A9A7B5" w16cid:durableId="55DD4365"/>
  <w16cid:commentId w16cid:paraId="508FCC2C" w16cid:durableId="2F62DD4C"/>
  <w16cid:commentId w16cid:paraId="097D6E84" w16cid:durableId="6980BFC7"/>
  <w16cid:commentId w16cid:paraId="54BDC1FF" w16cid:durableId="7A9996CC"/>
  <w16cid:commentId w16cid:paraId="2A25A6CA" w16cid:durableId="25B508B9"/>
  <w16cid:commentId w16cid:paraId="5B0E4ED9" w16cid:durableId="28AE24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75"/>
    <w:rsid w:val="00046944"/>
    <w:rsid w:val="00050876"/>
    <w:rsid w:val="000B5FCA"/>
    <w:rsid w:val="000F66E7"/>
    <w:rsid w:val="00120DB9"/>
    <w:rsid w:val="001468A4"/>
    <w:rsid w:val="001F11FE"/>
    <w:rsid w:val="002A5519"/>
    <w:rsid w:val="00323454"/>
    <w:rsid w:val="003D045D"/>
    <w:rsid w:val="00405B9A"/>
    <w:rsid w:val="00432F3C"/>
    <w:rsid w:val="0043451E"/>
    <w:rsid w:val="00470EBC"/>
    <w:rsid w:val="00497FF1"/>
    <w:rsid w:val="00507AFE"/>
    <w:rsid w:val="00522000"/>
    <w:rsid w:val="00533FCE"/>
    <w:rsid w:val="005A2475"/>
    <w:rsid w:val="005E30FF"/>
    <w:rsid w:val="00605105"/>
    <w:rsid w:val="006469AF"/>
    <w:rsid w:val="00647676"/>
    <w:rsid w:val="00647E99"/>
    <w:rsid w:val="00655635"/>
    <w:rsid w:val="00663630"/>
    <w:rsid w:val="007F58C3"/>
    <w:rsid w:val="00810DF2"/>
    <w:rsid w:val="00845E11"/>
    <w:rsid w:val="008E3CDA"/>
    <w:rsid w:val="009C7159"/>
    <w:rsid w:val="00A67EF9"/>
    <w:rsid w:val="00AA52B8"/>
    <w:rsid w:val="00BE6F9A"/>
    <w:rsid w:val="00C45871"/>
    <w:rsid w:val="00C90F3D"/>
    <w:rsid w:val="00CB03A6"/>
    <w:rsid w:val="00D00ACF"/>
    <w:rsid w:val="00D40216"/>
    <w:rsid w:val="00D4353F"/>
    <w:rsid w:val="00D8674B"/>
    <w:rsid w:val="00D92BC0"/>
    <w:rsid w:val="00DE6519"/>
    <w:rsid w:val="00E22D7C"/>
    <w:rsid w:val="00E56A98"/>
    <w:rsid w:val="00ED1CEC"/>
    <w:rsid w:val="00F7292E"/>
    <w:rsid w:val="00F90AAE"/>
    <w:rsid w:val="00F94C0B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BD32"/>
  <w15:chartTrackingRefBased/>
  <w15:docId w15:val="{8448CB6D-45E0-4A80-B4F6-A58BCE38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0ACF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22D7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22D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22D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22D7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2D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2D7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2024-06-07T08:11:00Z</dcterms:created>
  <dcterms:modified xsi:type="dcterms:W3CDTF">2024-06-07T08:11:00Z</dcterms:modified>
</cp:coreProperties>
</file>